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11 -->
  <w:body>
    <w:p w:rsidR="00FF447A" w:rsidP="00FF447A">
      <w:pPr>
        <w:spacing w:line="480" w:lineRule="auto"/>
        <w:jc w:val="center"/>
        <w:rPr>
          <w:rFonts w:ascii="Times New Roman" w:hAnsi="Times New Roman" w:cs="Times New Roman"/>
          <w:sz w:val="24"/>
          <w:szCs w:val="24"/>
        </w:rPr>
      </w:pPr>
    </w:p>
    <w:p w:rsidR="00FF447A" w:rsidP="00FF447A">
      <w:pPr>
        <w:spacing w:line="480" w:lineRule="auto"/>
        <w:jc w:val="center"/>
        <w:rPr>
          <w:rFonts w:ascii="Times New Roman" w:hAnsi="Times New Roman" w:cs="Times New Roman"/>
          <w:sz w:val="24"/>
          <w:szCs w:val="24"/>
        </w:rPr>
      </w:pPr>
    </w:p>
    <w:p w:rsidR="00FF447A" w:rsidP="00FF447A">
      <w:pPr>
        <w:spacing w:line="480" w:lineRule="auto"/>
        <w:jc w:val="center"/>
        <w:rPr>
          <w:rFonts w:ascii="Times New Roman" w:hAnsi="Times New Roman" w:cs="Times New Roman"/>
          <w:sz w:val="24"/>
          <w:szCs w:val="24"/>
        </w:rPr>
      </w:pPr>
    </w:p>
    <w:p w:rsidR="00FF447A" w:rsidP="00FF447A">
      <w:pPr>
        <w:spacing w:line="480" w:lineRule="auto"/>
        <w:jc w:val="center"/>
        <w:rPr>
          <w:rFonts w:ascii="Times New Roman" w:hAnsi="Times New Roman" w:cs="Times New Roman"/>
          <w:sz w:val="24"/>
          <w:szCs w:val="24"/>
        </w:rPr>
      </w:pPr>
    </w:p>
    <w:p w:rsidR="00FF447A" w:rsidP="00FF447A">
      <w:pPr>
        <w:spacing w:line="480" w:lineRule="auto"/>
        <w:jc w:val="center"/>
        <w:rPr>
          <w:rFonts w:ascii="Times New Roman" w:hAnsi="Times New Roman" w:cs="Times New Roman"/>
          <w:sz w:val="24"/>
          <w:szCs w:val="24"/>
        </w:rPr>
      </w:pPr>
    </w:p>
    <w:p w:rsidR="00FF447A" w:rsidP="00FF447A">
      <w:pPr>
        <w:spacing w:line="480" w:lineRule="auto"/>
        <w:jc w:val="center"/>
        <w:rPr>
          <w:rFonts w:ascii="Times New Roman" w:hAnsi="Times New Roman" w:cs="Times New Roman"/>
          <w:sz w:val="24"/>
          <w:szCs w:val="24"/>
        </w:rPr>
      </w:pPr>
    </w:p>
    <w:p w:rsidR="00FF447A" w:rsidP="00FF447A">
      <w:pPr>
        <w:spacing w:line="480" w:lineRule="auto"/>
        <w:jc w:val="center"/>
        <w:rPr>
          <w:rFonts w:ascii="Times New Roman" w:hAnsi="Times New Roman" w:cs="Times New Roman"/>
          <w:sz w:val="24"/>
          <w:szCs w:val="24"/>
        </w:rPr>
      </w:pPr>
    </w:p>
    <w:p w:rsidR="00A92300" w:rsidP="00FF447A">
      <w:pPr>
        <w:spacing w:line="480" w:lineRule="auto"/>
        <w:jc w:val="center"/>
        <w:rPr>
          <w:rFonts w:ascii="Times New Roman" w:hAnsi="Times New Roman" w:cs="Times New Roman"/>
          <w:sz w:val="24"/>
          <w:szCs w:val="24"/>
        </w:rPr>
      </w:pPr>
      <w:r>
        <w:rPr>
          <w:rFonts w:ascii="Times New Roman" w:hAnsi="Times New Roman" w:cs="Times New Roman"/>
          <w:sz w:val="24"/>
          <w:szCs w:val="24"/>
        </w:rPr>
        <w:t>Consequences of Rising Income Inequality</w:t>
      </w:r>
    </w:p>
    <w:p w:rsidR="00FF447A" w:rsidP="00FF447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16FBB" w:rsidP="00FF44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16FBB" w:rsidRPr="00816FBB" w:rsidP="00816FBB">
      <w:pPr>
        <w:rPr>
          <w:rFonts w:ascii="Times New Roman" w:hAnsi="Times New Roman" w:cs="Times New Roman"/>
          <w:sz w:val="24"/>
          <w:szCs w:val="24"/>
        </w:rPr>
      </w:pPr>
    </w:p>
    <w:p w:rsidR="00816FBB" w:rsidRPr="00816FBB" w:rsidP="00816FBB">
      <w:pPr>
        <w:rPr>
          <w:rFonts w:ascii="Times New Roman" w:hAnsi="Times New Roman" w:cs="Times New Roman"/>
          <w:sz w:val="24"/>
          <w:szCs w:val="24"/>
        </w:rPr>
      </w:pPr>
    </w:p>
    <w:p w:rsidR="00816FBB" w:rsidRPr="00816FBB" w:rsidP="00816FBB">
      <w:pPr>
        <w:rPr>
          <w:rFonts w:ascii="Times New Roman" w:hAnsi="Times New Roman" w:cs="Times New Roman"/>
          <w:sz w:val="24"/>
          <w:szCs w:val="24"/>
        </w:rPr>
      </w:pPr>
    </w:p>
    <w:p w:rsidR="00816FBB" w:rsidRPr="00816FBB" w:rsidP="00816FBB">
      <w:pPr>
        <w:rPr>
          <w:rFonts w:ascii="Times New Roman" w:hAnsi="Times New Roman" w:cs="Times New Roman"/>
          <w:sz w:val="24"/>
          <w:szCs w:val="24"/>
        </w:rPr>
      </w:pPr>
    </w:p>
    <w:p w:rsidR="00816FBB" w:rsidRPr="00816FBB" w:rsidP="00816FBB">
      <w:pPr>
        <w:rPr>
          <w:rFonts w:ascii="Times New Roman" w:hAnsi="Times New Roman" w:cs="Times New Roman"/>
          <w:sz w:val="24"/>
          <w:szCs w:val="24"/>
        </w:rPr>
      </w:pPr>
    </w:p>
    <w:p w:rsidR="00816FBB" w:rsidRPr="00816FBB" w:rsidP="00816FBB">
      <w:pPr>
        <w:rPr>
          <w:rFonts w:ascii="Times New Roman" w:hAnsi="Times New Roman" w:cs="Times New Roman"/>
          <w:sz w:val="24"/>
          <w:szCs w:val="24"/>
        </w:rPr>
      </w:pPr>
    </w:p>
    <w:p w:rsidR="00816FBB" w:rsidRPr="00816FBB" w:rsidP="00816FBB">
      <w:pPr>
        <w:rPr>
          <w:rFonts w:ascii="Times New Roman" w:hAnsi="Times New Roman" w:cs="Times New Roman"/>
          <w:sz w:val="24"/>
          <w:szCs w:val="24"/>
        </w:rPr>
      </w:pPr>
    </w:p>
    <w:p w:rsidR="00816FBB" w:rsidP="00816FBB">
      <w:pPr>
        <w:rPr>
          <w:rFonts w:ascii="Times New Roman" w:hAnsi="Times New Roman" w:cs="Times New Roman"/>
          <w:sz w:val="24"/>
          <w:szCs w:val="24"/>
        </w:rPr>
      </w:pPr>
    </w:p>
    <w:p w:rsidR="00FF447A" w:rsidP="00816FBB">
      <w:pPr>
        <w:rPr>
          <w:rFonts w:ascii="Times New Roman" w:hAnsi="Times New Roman" w:cs="Times New Roman"/>
          <w:sz w:val="24"/>
          <w:szCs w:val="24"/>
        </w:rPr>
      </w:pPr>
    </w:p>
    <w:p w:rsidR="00816FBB" w:rsidP="00816FBB">
      <w:pPr>
        <w:rPr>
          <w:rFonts w:ascii="Times New Roman" w:hAnsi="Times New Roman" w:cs="Times New Roman"/>
          <w:sz w:val="24"/>
          <w:szCs w:val="24"/>
        </w:rPr>
      </w:pPr>
    </w:p>
    <w:p w:rsidR="00816FBB" w:rsidP="00816FB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Consequences of Rising </w:t>
      </w:r>
      <w:r w:rsidR="00ED19B4">
        <w:rPr>
          <w:rFonts w:ascii="Times New Roman" w:hAnsi="Times New Roman" w:cs="Times New Roman"/>
          <w:sz w:val="24"/>
          <w:szCs w:val="24"/>
        </w:rPr>
        <w:t xml:space="preserve">Income </w:t>
      </w:r>
      <w:r>
        <w:rPr>
          <w:rFonts w:ascii="Times New Roman" w:hAnsi="Times New Roman" w:cs="Times New Roman"/>
          <w:sz w:val="24"/>
          <w:szCs w:val="24"/>
        </w:rPr>
        <w:t>Inequality</w:t>
      </w:r>
    </w:p>
    <w:p w:rsidR="00816FBB" w:rsidP="00D709E9">
      <w:pPr>
        <w:spacing w:line="480" w:lineRule="auto"/>
        <w:rPr>
          <w:rFonts w:ascii="Times New Roman" w:hAnsi="Times New Roman" w:cs="Times New Roman"/>
          <w:sz w:val="24"/>
          <w:szCs w:val="24"/>
        </w:rPr>
      </w:pPr>
      <w:r>
        <w:rPr>
          <w:rFonts w:ascii="Times New Roman" w:hAnsi="Times New Roman" w:cs="Times New Roman"/>
          <w:sz w:val="24"/>
          <w:szCs w:val="24"/>
        </w:rPr>
        <w:tab/>
        <w:t>The period under consideratio</w:t>
      </w:r>
      <w:r w:rsidR="00ED19B4">
        <w:rPr>
          <w:rFonts w:ascii="Times New Roman" w:hAnsi="Times New Roman" w:cs="Times New Roman"/>
          <w:sz w:val="24"/>
          <w:szCs w:val="24"/>
        </w:rPr>
        <w:t xml:space="preserve">n is between the </w:t>
      </w:r>
      <w:r w:rsidR="00F0031E">
        <w:rPr>
          <w:rFonts w:ascii="Times New Roman" w:hAnsi="Times New Roman" w:cs="Times New Roman"/>
          <w:sz w:val="24"/>
          <w:szCs w:val="24"/>
        </w:rPr>
        <w:t xml:space="preserve">years </w:t>
      </w:r>
      <w:r w:rsidR="00ED19B4">
        <w:rPr>
          <w:rFonts w:ascii="Times New Roman" w:hAnsi="Times New Roman" w:cs="Times New Roman"/>
          <w:sz w:val="24"/>
          <w:szCs w:val="24"/>
        </w:rPr>
        <w:t xml:space="preserve">1977 to 2007 when households dominated the income growth within the US. </w:t>
      </w:r>
      <w:r w:rsidR="00F0031E">
        <w:rPr>
          <w:rFonts w:ascii="Times New Roman" w:hAnsi="Times New Roman" w:cs="Times New Roman"/>
          <w:sz w:val="24"/>
          <w:szCs w:val="24"/>
        </w:rPr>
        <w:t xml:space="preserve">The disparities in income increment by 10% is evident from the surge in </w:t>
      </w:r>
      <w:r w:rsidR="002D2C2D">
        <w:rPr>
          <w:rFonts w:ascii="Times New Roman" w:hAnsi="Times New Roman" w:cs="Times New Roman"/>
          <w:sz w:val="24"/>
          <w:szCs w:val="24"/>
        </w:rPr>
        <w:t xml:space="preserve">household </w:t>
      </w:r>
      <w:r w:rsidR="00F0031E">
        <w:rPr>
          <w:rFonts w:ascii="Times New Roman" w:hAnsi="Times New Roman" w:cs="Times New Roman"/>
          <w:sz w:val="24"/>
          <w:szCs w:val="24"/>
        </w:rPr>
        <w:t>share from 32%</w:t>
      </w:r>
      <w:r w:rsidR="000F218E">
        <w:rPr>
          <w:rFonts w:ascii="Times New Roman" w:hAnsi="Times New Roman" w:cs="Times New Roman"/>
          <w:sz w:val="24"/>
          <w:szCs w:val="24"/>
        </w:rPr>
        <w:t xml:space="preserve"> to 47% within a timeline of 45 </w:t>
      </w:r>
      <w:r w:rsidR="00F0031E">
        <w:rPr>
          <w:rFonts w:ascii="Times New Roman" w:hAnsi="Times New Roman" w:cs="Times New Roman"/>
          <w:sz w:val="24"/>
          <w:szCs w:val="24"/>
        </w:rPr>
        <w:t xml:space="preserve">years (1970- 2014) while the 20% increment was as a result of the </w:t>
      </w:r>
      <w:r w:rsidR="00243400">
        <w:rPr>
          <w:rFonts w:ascii="Times New Roman" w:hAnsi="Times New Roman" w:cs="Times New Roman"/>
          <w:sz w:val="24"/>
          <w:szCs w:val="24"/>
        </w:rPr>
        <w:t>household shares rising to 51</w:t>
      </w:r>
      <w:r w:rsidR="002D2C2D">
        <w:rPr>
          <w:rFonts w:ascii="Times New Roman" w:hAnsi="Times New Roman" w:cs="Times New Roman"/>
          <w:sz w:val="24"/>
          <w:szCs w:val="24"/>
        </w:rPr>
        <w:t xml:space="preserve">% from 43% within the same period. </w:t>
      </w:r>
      <w:r w:rsidR="00AB069F">
        <w:rPr>
          <w:rFonts w:ascii="Times New Roman" w:hAnsi="Times New Roman" w:cs="Times New Roman"/>
          <w:sz w:val="24"/>
          <w:szCs w:val="24"/>
        </w:rPr>
        <w:t>Fig, 2 provides empirical evidence that i</w:t>
      </w:r>
      <w:r w:rsidR="002D2C2D">
        <w:rPr>
          <w:rFonts w:ascii="Times New Roman" w:hAnsi="Times New Roman" w:cs="Times New Roman"/>
          <w:sz w:val="24"/>
          <w:szCs w:val="24"/>
        </w:rPr>
        <w:t xml:space="preserve">ncome </w:t>
      </w:r>
      <w:r w:rsidR="00AB069F">
        <w:rPr>
          <w:rFonts w:ascii="Times New Roman" w:hAnsi="Times New Roman" w:cs="Times New Roman"/>
          <w:sz w:val="24"/>
          <w:szCs w:val="24"/>
        </w:rPr>
        <w:t>has diverged</w:t>
      </w:r>
      <w:r w:rsidR="002D2C2D">
        <w:rPr>
          <w:rFonts w:ascii="Times New Roman" w:hAnsi="Times New Roman" w:cs="Times New Roman"/>
          <w:sz w:val="24"/>
          <w:szCs w:val="24"/>
        </w:rPr>
        <w:t xml:space="preserve"> to the source encompassing wages and other types of incentives</w:t>
      </w:r>
      <w:r w:rsidR="003C7A9C">
        <w:rPr>
          <w:rFonts w:ascii="Times New Roman" w:hAnsi="Times New Roman" w:cs="Times New Roman"/>
          <w:sz w:val="24"/>
          <w:szCs w:val="24"/>
        </w:rPr>
        <w:t xml:space="preserve"> to households</w:t>
      </w:r>
      <w:r w:rsidR="002D2C2D">
        <w:rPr>
          <w:rFonts w:ascii="Times New Roman" w:hAnsi="Times New Roman" w:cs="Times New Roman"/>
          <w:sz w:val="24"/>
          <w:szCs w:val="24"/>
        </w:rPr>
        <w:t>. T</w:t>
      </w:r>
      <w:r w:rsidR="00A92300">
        <w:rPr>
          <w:rFonts w:ascii="Times New Roman" w:hAnsi="Times New Roman" w:cs="Times New Roman"/>
          <w:sz w:val="24"/>
          <w:szCs w:val="24"/>
        </w:rPr>
        <w:t>he increase can be evaluated from corporate profitability, interests, and rental income to show the distribution of wealth within the US. The distribution has a skew that points towards the irregularities on th</w:t>
      </w:r>
      <w:r w:rsidR="00AB069F">
        <w:rPr>
          <w:rFonts w:ascii="Times New Roman" w:hAnsi="Times New Roman" w:cs="Times New Roman"/>
          <w:sz w:val="24"/>
          <w:szCs w:val="24"/>
        </w:rPr>
        <w:t>e profits from the households. Also, t</w:t>
      </w:r>
      <w:r w:rsidR="00A92300">
        <w:rPr>
          <w:rFonts w:ascii="Times New Roman" w:hAnsi="Times New Roman" w:cs="Times New Roman"/>
          <w:sz w:val="24"/>
          <w:szCs w:val="24"/>
        </w:rPr>
        <w:t xml:space="preserve">he government </w:t>
      </w:r>
      <w:r w:rsidR="003C7A9C">
        <w:rPr>
          <w:rFonts w:ascii="Times New Roman" w:hAnsi="Times New Roman" w:cs="Times New Roman"/>
          <w:sz w:val="24"/>
          <w:szCs w:val="24"/>
        </w:rPr>
        <w:t xml:space="preserve">widens </w:t>
      </w:r>
      <w:r w:rsidR="00A92300">
        <w:rPr>
          <w:rFonts w:ascii="Times New Roman" w:hAnsi="Times New Roman" w:cs="Times New Roman"/>
          <w:sz w:val="24"/>
          <w:szCs w:val="24"/>
        </w:rPr>
        <w:t xml:space="preserve">the gap by transferring payment to households </w:t>
      </w:r>
      <w:r w:rsidR="00AB069F">
        <w:rPr>
          <w:rFonts w:ascii="Times New Roman" w:hAnsi="Times New Roman" w:cs="Times New Roman"/>
          <w:sz w:val="24"/>
          <w:szCs w:val="24"/>
        </w:rPr>
        <w:t xml:space="preserve">since the </w:t>
      </w:r>
      <w:r w:rsidR="00A92300">
        <w:rPr>
          <w:rFonts w:ascii="Times New Roman" w:hAnsi="Times New Roman" w:cs="Times New Roman"/>
          <w:sz w:val="24"/>
          <w:szCs w:val="24"/>
        </w:rPr>
        <w:t>GDP has doubled within the period</w:t>
      </w:r>
      <w:r w:rsidR="00AB069F">
        <w:rPr>
          <w:rFonts w:ascii="Times New Roman" w:hAnsi="Times New Roman" w:cs="Times New Roman"/>
          <w:sz w:val="24"/>
          <w:szCs w:val="24"/>
        </w:rPr>
        <w:t xml:space="preserve">. Households, therefore, </w:t>
      </w:r>
      <w:r w:rsidR="003C7A9C">
        <w:rPr>
          <w:rFonts w:ascii="Times New Roman" w:hAnsi="Times New Roman" w:cs="Times New Roman"/>
          <w:sz w:val="24"/>
          <w:szCs w:val="24"/>
        </w:rPr>
        <w:t>own</w:t>
      </w:r>
      <w:r w:rsidR="00AB069F">
        <w:rPr>
          <w:rFonts w:ascii="Times New Roman" w:hAnsi="Times New Roman" w:cs="Times New Roman"/>
          <w:sz w:val="24"/>
          <w:szCs w:val="24"/>
        </w:rPr>
        <w:t xml:space="preserve"> 90% of the wealth</w:t>
      </w:r>
      <w:r w:rsidR="003C7A9C">
        <w:rPr>
          <w:rFonts w:ascii="Times New Roman" w:hAnsi="Times New Roman" w:cs="Times New Roman"/>
          <w:sz w:val="24"/>
          <w:szCs w:val="24"/>
        </w:rPr>
        <w:t xml:space="preserve"> and taking advantage of the various transfer payments including food stamps, unemployment insurance, disability insurance, Medicare, and Medicaid. Consequently, these transfers alienate other players in the economy.</w:t>
      </w:r>
    </w:p>
    <w:p w:rsidR="00816FBB" w:rsidP="00A04BB1">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rising income inequality stems from </w:t>
      </w:r>
      <w:r w:rsidR="00F66397">
        <w:rPr>
          <w:rFonts w:ascii="Times New Roman" w:hAnsi="Times New Roman" w:cs="Times New Roman"/>
          <w:sz w:val="24"/>
          <w:szCs w:val="24"/>
        </w:rPr>
        <w:t xml:space="preserve">different theories including the "skill-biased technological change" that has restructured the production and distribution networks to increase the demand of individuals who are highly skilled due to their relatively higher levels of education. </w:t>
      </w:r>
      <w:r w:rsidR="00A04BB1">
        <w:rPr>
          <w:rFonts w:ascii="Times New Roman" w:hAnsi="Times New Roman" w:cs="Times New Roman"/>
          <w:sz w:val="24"/>
          <w:szCs w:val="24"/>
        </w:rPr>
        <w:t>Alternatively, globalization and socialization have enabled the corporate community to outsource cheap labor from other countries. Lastly, institutional change has necessitated advocacy for wage increments by labor unions pushing the earnings to abnormal levels. The increase is historical owing to the</w:t>
      </w:r>
      <w:r w:rsidR="00962519">
        <w:rPr>
          <w:rFonts w:ascii="Times New Roman" w:hAnsi="Times New Roman" w:cs="Times New Roman"/>
          <w:sz w:val="24"/>
          <w:szCs w:val="24"/>
        </w:rPr>
        <w:t xml:space="preserve"> socially-aware</w:t>
      </w:r>
      <w:r w:rsidR="00A04BB1">
        <w:rPr>
          <w:rFonts w:ascii="Times New Roman" w:hAnsi="Times New Roman" w:cs="Times New Roman"/>
          <w:sz w:val="24"/>
          <w:szCs w:val="24"/>
        </w:rPr>
        <w:t xml:space="preserve"> environment created </w:t>
      </w:r>
      <w:r w:rsidR="00962519">
        <w:rPr>
          <w:rFonts w:ascii="Times New Roman" w:hAnsi="Times New Roman" w:cs="Times New Roman"/>
          <w:sz w:val="24"/>
          <w:szCs w:val="24"/>
        </w:rPr>
        <w:t>has automatically pushed earnings through incentives such as compensation.</w:t>
      </w:r>
    </w:p>
    <w:p w:rsidR="00962519" w:rsidP="00A04BB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consumption of workers would be slightly below incase increase income disparity did not occur </w:t>
      </w:r>
      <w:r w:rsidR="000F218E">
        <w:rPr>
          <w:rFonts w:ascii="Times New Roman" w:hAnsi="Times New Roman" w:cs="Times New Roman"/>
          <w:sz w:val="24"/>
          <w:szCs w:val="24"/>
        </w:rPr>
        <w:t xml:space="preserve">for the same period, that is, 1977 to 2014. The decline can be contributed to the decrease in redistributive transfers </w:t>
      </w:r>
      <w:r w:rsidR="00CC71D6">
        <w:rPr>
          <w:rFonts w:ascii="Times New Roman" w:hAnsi="Times New Roman" w:cs="Times New Roman"/>
          <w:sz w:val="24"/>
          <w:szCs w:val="24"/>
        </w:rPr>
        <w:t xml:space="preserve">such as transfer payments from the government that increases the purchasing power of the workers regardless of diminishing incomes. It is determined that the worker consumption will be of the same magnitude in 2050 but will start overtaking it. Catching-up is possible since capital owners are likely to engage in more investment opportunities consequently leading to massive production. </w:t>
      </w:r>
      <w:r w:rsidR="00AE03BE">
        <w:rPr>
          <w:rFonts w:ascii="Times New Roman" w:hAnsi="Times New Roman" w:cs="Times New Roman"/>
          <w:sz w:val="24"/>
          <w:szCs w:val="24"/>
        </w:rPr>
        <w:t>Labor demands will increase, and wages increases to 1%. As a result, households will have an additional 1 % income to spend to establish equilibrium between transfers and rising inequality.
</w:t>
      </w:r>
    </w:p>
    <w:p w:rsidR="00AE03BE" w:rsidP="00A04BB1">
      <w:pPr>
        <w:spacing w:line="480" w:lineRule="auto"/>
        <w:rPr>
          <w:rFonts w:ascii="Times New Roman" w:hAnsi="Times New Roman" w:cs="Times New Roman"/>
          <w:sz w:val="24"/>
          <w:szCs w:val="24"/>
        </w:rPr>
      </w:pPr>
      <w:r>
        <w:rPr>
          <w:rFonts w:ascii="Times New Roman" w:hAnsi="Times New Roman" w:cs="Times New Roman"/>
          <w:sz w:val="24"/>
          <w:szCs w:val="24"/>
        </w:rPr>
        <w:tab/>
      </w:r>
      <w:r w:rsidR="006C35EF">
        <w:rPr>
          <w:rFonts w:ascii="Times New Roman" w:hAnsi="Times New Roman" w:cs="Times New Roman"/>
          <w:sz w:val="24"/>
          <w:szCs w:val="24"/>
        </w:rPr>
        <w:t xml:space="preserve">Holding the transfer to output ratio constant in 1970 while allowing </w:t>
      </w:r>
      <w:r w:rsidR="00686A17">
        <w:rPr>
          <w:rFonts w:ascii="Times New Roman" w:hAnsi="Times New Roman" w:cs="Times New Roman"/>
          <w:sz w:val="24"/>
          <w:szCs w:val="24"/>
        </w:rPr>
        <w:t xml:space="preserve">income inequality to continue rising </w:t>
      </w:r>
      <w:r w:rsidR="00187213">
        <w:rPr>
          <w:rFonts w:ascii="Times New Roman" w:hAnsi="Times New Roman" w:cs="Times New Roman"/>
          <w:sz w:val="24"/>
          <w:szCs w:val="24"/>
        </w:rPr>
        <w:t xml:space="preserve">as, from the previous scenario, the wellbeing of the workforce would improve significantly by a factor 9. Consequently, the workers will have an increment in their purchasing power by 9 % to bridging the economic disparities of rising inequality. </w:t>
      </w:r>
      <w:r w:rsidR="007676BF">
        <w:rPr>
          <w:rFonts w:ascii="Times New Roman" w:hAnsi="Times New Roman" w:cs="Times New Roman"/>
          <w:sz w:val="24"/>
          <w:szCs w:val="24"/>
        </w:rPr>
        <w:t xml:space="preserve">The pattern is proof enough that the transfer payments in the US affects negatively rising income inequality. The transfers can also be used to determine how much the magnitude of growth that would translate to equal welfare. In such a case, transfers to output ratio need to rise rapidly to meet the welfare gain in 2014. Small welfare gains are due to high taxation on financial income </w:t>
      </w:r>
      <w:r w:rsidR="00E00D94">
        <w:rPr>
          <w:rFonts w:ascii="Times New Roman" w:hAnsi="Times New Roman" w:cs="Times New Roman"/>
          <w:sz w:val="24"/>
          <w:szCs w:val="24"/>
        </w:rPr>
        <w:t>limiting growth.</w:t>
      </w:r>
    </w:p>
    <w:p w:rsidR="00E00D94" w:rsidP="00A04BB1">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I learned the concept of transfer to output ratio that affects the welfare of the workers. The rate tries to bridge the disparities between the purchasing power of the workers and the rising inequality and determines the levels of growth necessary for equal welfare.
</w:t>
      </w:r>
    </w:p>
    <w:p w:rsidR="00E00D94" w:rsidP="00A04BB1">
      <w:pPr>
        <w:spacing w:line="480" w:lineRule="auto"/>
        <w:rPr>
          <w:rFonts w:ascii="Times New Roman" w:hAnsi="Times New Roman" w:cs="Times New Roman"/>
          <w:sz w:val="24"/>
          <w:szCs w:val="24"/>
        </w:rPr>
      </w:pPr>
    </w:p>
    <w:p w:rsidR="00E00D94" w:rsidP="00A04BB1">
      <w:pPr>
        <w:spacing w:line="480" w:lineRule="auto"/>
        <w:rPr>
          <w:rFonts w:ascii="Times New Roman" w:hAnsi="Times New Roman" w:cs="Times New Roman"/>
          <w:sz w:val="24"/>
          <w:szCs w:val="24"/>
        </w:rPr>
      </w:pPr>
    </w:p>
    <w:p w:rsidR="00E00D94" w:rsidP="00A04BB1">
      <w:pPr>
        <w:spacing w:line="480" w:lineRule="auto"/>
        <w:rPr>
          <w:rFonts w:ascii="Times New Roman" w:hAnsi="Times New Roman" w:cs="Times New Roman"/>
          <w:sz w:val="24"/>
          <w:szCs w:val="24"/>
        </w:rPr>
      </w:pPr>
    </w:p>
    <w:p w:rsidR="00A04BB1" w:rsidP="00A04BB1">
      <w:pPr>
        <w:spacing w:line="480" w:lineRule="auto"/>
        <w:rPr>
          <w:rFonts w:ascii="Times New Roman" w:hAnsi="Times New Roman" w:cs="Times New Roman"/>
          <w:sz w:val="24"/>
          <w:szCs w:val="24"/>
        </w:rPr>
      </w:pPr>
    </w:p>
    <w:p w:rsidR="00A04BB1" w:rsidP="00A04BB1">
      <w:pPr>
        <w:spacing w:line="480" w:lineRule="auto"/>
        <w:rPr>
          <w:rFonts w:ascii="Times New Roman" w:hAnsi="Times New Roman" w:cs="Times New Roman"/>
          <w:sz w:val="24"/>
          <w:szCs w:val="24"/>
        </w:rPr>
      </w:pPr>
    </w:p>
    <w:p w:rsidR="00A04BB1" w:rsidRPr="00816FBB" w:rsidP="00A04BB1">
      <w:pPr>
        <w:spacing w:line="480" w:lineRule="auto"/>
        <w:rPr>
          <w:rFonts w:ascii="Times New Roman" w:hAnsi="Times New Roman" w:cs="Times New Roman"/>
          <w:sz w:val="24"/>
          <w:szCs w:val="24"/>
        </w:rPr>
      </w:pPr>
    </w:p>
    <w:sectPr w:rsidSect="00FF447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BF" w:rsidRPr="00816FBB" w:rsidP="00816FBB">
    <w:pPr>
      <w:pStyle w:val="Header"/>
      <w:spacing w:line="480" w:lineRule="auto"/>
      <w:rPr>
        <w:rFonts w:ascii="Times New Roman" w:hAnsi="Times New Roman" w:cs="Times New Roman"/>
        <w:sz w:val="24"/>
        <w:szCs w:val="24"/>
      </w:rPr>
    </w:pPr>
    <w:r>
      <w:rPr>
        <w:rFonts w:ascii="Times New Roman" w:hAnsi="Times New Roman" w:cs="Times New Roman"/>
        <w:sz w:val="24"/>
        <w:szCs w:val="24"/>
      </w:rPr>
      <w:t>I</w:t>
    </w:r>
    <w:r w:rsidRPr="00816FBB">
      <w:rPr>
        <w:rFonts w:ascii="Times New Roman" w:hAnsi="Times New Roman" w:cs="Times New Roman"/>
        <w:sz w:val="24"/>
        <w:szCs w:val="24"/>
      </w:rPr>
      <w:t>NCOME INEQUALITY</w:t>
    </w:r>
    <w:sdt>
      <w:sdtPr>
        <w:rPr>
          <w:rFonts w:ascii="Times New Roman" w:hAnsi="Times New Roman" w:cs="Times New Roman"/>
          <w:sz w:val="24"/>
          <w:szCs w:val="24"/>
        </w:rPr>
        <w:id w:val="104983724"/>
        <w:docPartObj>
          <w:docPartGallery w:val="Page Numbers (Top of Page)"/>
          <w:docPartUnique/>
        </w:docPartObj>
      </w:sdtPr>
      <w:sdtContent>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16FBB">
          <w:rPr>
            <w:rFonts w:ascii="Times New Roman" w:hAnsi="Times New Roman" w:cs="Times New Roman"/>
            <w:sz w:val="24"/>
            <w:szCs w:val="24"/>
          </w:rPr>
          <w:fldChar w:fldCharType="begin"/>
        </w:r>
        <w:r w:rsidRPr="00816FBB">
          <w:rPr>
            <w:rFonts w:ascii="Times New Roman" w:hAnsi="Times New Roman" w:cs="Times New Roman"/>
            <w:sz w:val="24"/>
            <w:szCs w:val="24"/>
          </w:rPr>
          <w:instrText xml:space="preserve"> PAGE   \* MERGEFORMAT </w:instrText>
        </w:r>
        <w:r w:rsidRPr="00816FBB">
          <w:rPr>
            <w:rFonts w:ascii="Times New Roman" w:hAnsi="Times New Roman" w:cs="Times New Roman"/>
            <w:sz w:val="24"/>
            <w:szCs w:val="24"/>
          </w:rPr>
          <w:fldChar w:fldCharType="separate"/>
        </w:r>
        <w:r w:rsidR="00E00D94">
          <w:rPr>
            <w:rFonts w:ascii="Times New Roman" w:hAnsi="Times New Roman" w:cs="Times New Roman"/>
            <w:noProof/>
            <w:sz w:val="24"/>
            <w:szCs w:val="24"/>
          </w:rPr>
          <w:t>4</w:t>
        </w:r>
        <w:r w:rsidRPr="00816FBB">
          <w:rPr>
            <w:rFonts w:ascii="Times New Roman" w:hAnsi="Times New Roman" w:cs="Times New Roman"/>
            <w:sz w:val="24"/>
            <w:szCs w:val="24"/>
          </w:rPr>
          <w:fldChar w:fldCharType="end"/>
        </w:r>
      </w:sdtContent>
    </w:sdt>
  </w:p>
  <w:p w:rsidR="007676BF" w:rsidRPr="00816FBB" w:rsidP="00816FBB">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BF" w:rsidRPr="00FF447A" w:rsidP="00FF447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FF447A">
      <w:rPr>
        <w:rFonts w:ascii="Times New Roman" w:hAnsi="Times New Roman" w:cs="Times New Roman"/>
        <w:sz w:val="24"/>
        <w:szCs w:val="24"/>
      </w:rPr>
      <w:t>INCOME INEQUALITY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4983681"/>
        <w:docPartObj>
          <w:docPartGallery w:val="Page Numbers (Top of Page)"/>
          <w:docPartUnique/>
        </w:docPartObj>
      </w:sdtPr>
      <w:sdtContent>
        <w:r w:rsidRPr="00FF447A">
          <w:rPr>
            <w:rFonts w:ascii="Times New Roman" w:hAnsi="Times New Roman" w:cs="Times New Roman"/>
            <w:sz w:val="24"/>
            <w:szCs w:val="24"/>
          </w:rPr>
          <w:fldChar w:fldCharType="begin"/>
        </w:r>
        <w:r w:rsidRPr="00FF447A">
          <w:rPr>
            <w:rFonts w:ascii="Times New Roman" w:hAnsi="Times New Roman" w:cs="Times New Roman"/>
            <w:sz w:val="24"/>
            <w:szCs w:val="24"/>
          </w:rPr>
          <w:instrText xml:space="preserve"> PAGE   \* MERGEFORMAT </w:instrText>
        </w:r>
        <w:r w:rsidRPr="00FF447A">
          <w:rPr>
            <w:rFonts w:ascii="Times New Roman" w:hAnsi="Times New Roman" w:cs="Times New Roman"/>
            <w:sz w:val="24"/>
            <w:szCs w:val="24"/>
          </w:rPr>
          <w:fldChar w:fldCharType="separate"/>
        </w:r>
        <w:r w:rsidR="00E00D94">
          <w:rPr>
            <w:rFonts w:ascii="Times New Roman" w:hAnsi="Times New Roman" w:cs="Times New Roman"/>
            <w:noProof/>
            <w:sz w:val="24"/>
            <w:szCs w:val="24"/>
          </w:rPr>
          <w:t>1</w:t>
        </w:r>
        <w:r w:rsidRPr="00FF447A">
          <w:rPr>
            <w:rFonts w:ascii="Times New Roman" w:hAnsi="Times New Roman" w:cs="Times New Roman"/>
            <w:sz w:val="24"/>
            <w:szCs w:val="24"/>
          </w:rPr>
          <w:fldChar w:fldCharType="end"/>
        </w:r>
      </w:sdtContent>
    </w:sdt>
  </w:p>
  <w:p w:rsidR="007676BF" w:rsidRPr="00FF447A" w:rsidP="00FF447A">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FF447A"/>
    <w:rsid w:val="000F218E"/>
    <w:rsid w:val="00187213"/>
    <w:rsid w:val="00243400"/>
    <w:rsid w:val="002618F4"/>
    <w:rsid w:val="002D2C2D"/>
    <w:rsid w:val="003C7A9C"/>
    <w:rsid w:val="00686A17"/>
    <w:rsid w:val="006C35EF"/>
    <w:rsid w:val="007676BF"/>
    <w:rsid w:val="00816FBB"/>
    <w:rsid w:val="00897451"/>
    <w:rsid w:val="00962519"/>
    <w:rsid w:val="00A04BB1"/>
    <w:rsid w:val="00A92300"/>
    <w:rsid w:val="00AB069F"/>
    <w:rsid w:val="00AE03BE"/>
    <w:rsid w:val="00CC71D6"/>
    <w:rsid w:val="00D709E9"/>
    <w:rsid w:val="00E00D94"/>
    <w:rsid w:val="00ED19B4"/>
    <w:rsid w:val="00F0031E"/>
    <w:rsid w:val="00F40846"/>
    <w:rsid w:val="00F66397"/>
    <w:rsid w:val="00F96662"/>
    <w:rsid w:val="00FF447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4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47A"/>
  </w:style>
  <w:style w:type="paragraph" w:styleId="Footer">
    <w:name w:val="footer"/>
    <w:basedOn w:val="Normal"/>
    <w:link w:val="FooterChar"/>
    <w:uiPriority w:val="99"/>
    <w:semiHidden/>
    <w:unhideWhenUsed/>
    <w:rsid w:val="00FF44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F447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4</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13</cp:revision>
  <dcterms:created xsi:type="dcterms:W3CDTF">2018-12-01T23:03:00Z</dcterms:created>
  <dcterms:modified xsi:type="dcterms:W3CDTF">2018-12-02T00:39:00Z</dcterms:modified>
</cp:coreProperties>
</file>